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AC433">
      <w:pPr>
        <w:pStyle w:val="8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default" w:eastAsia="宋体"/>
          <w:b/>
          <w:sz w:val="24"/>
          <w:szCs w:val="24"/>
          <w:highlight w:val="none"/>
          <w:lang w:val="en-US" w:eastAsia="zh-CN"/>
        </w:rPr>
      </w:pPr>
      <w:bookmarkStart w:id="0" w:name="OLE_LINK12"/>
      <w:bookmarkStart w:id="1" w:name="OLE_LINK11"/>
      <w:r>
        <w:rPr>
          <w:b/>
          <w:sz w:val="24"/>
          <w:szCs w:val="24"/>
          <w:highlight w:val="none"/>
        </w:rPr>
        <w:t xml:space="preserve">3GPP TSG-RAN WG4 Meeting </w:t>
      </w:r>
      <w:r>
        <w:rPr>
          <w:rFonts w:hint="eastAsia"/>
          <w:b/>
          <w:sz w:val="24"/>
          <w:szCs w:val="24"/>
          <w:highlight w:val="none"/>
        </w:rPr>
        <w:t>#</w:t>
      </w:r>
      <w:r>
        <w:rPr>
          <w:b/>
          <w:sz w:val="24"/>
          <w:szCs w:val="24"/>
          <w:highlight w:val="none"/>
        </w:rPr>
        <w:t>1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18</w:t>
      </w:r>
      <w:r>
        <w:rPr>
          <w:rFonts w:hint="eastAsia"/>
          <w:b/>
          <w:sz w:val="24"/>
          <w:szCs w:val="24"/>
          <w:highlight w:val="none"/>
        </w:rPr>
        <w:t xml:space="preserve">                           </w:t>
      </w:r>
      <w:r>
        <w:rPr>
          <w:b/>
          <w:sz w:val="24"/>
          <w:szCs w:val="24"/>
          <w:highlight w:val="none"/>
        </w:rPr>
        <w:t xml:space="preserve"> R4-2</w:t>
      </w:r>
      <w:r>
        <w:rPr>
          <w:rFonts w:hint="eastAsia" w:eastAsia="宋体"/>
          <w:b/>
          <w:sz w:val="24"/>
          <w:szCs w:val="24"/>
          <w:highlight w:val="none"/>
          <w:lang w:val="en-US" w:eastAsia="zh-CN"/>
        </w:rPr>
        <w:t>600858</w:t>
      </w:r>
      <w:bookmarkStart w:id="8" w:name="_GoBack"/>
      <w:bookmarkEnd w:id="8"/>
      <w:r>
        <w:rPr>
          <w:b/>
          <w:sz w:val="24"/>
          <w:szCs w:val="24"/>
          <w:highlight w:val="none"/>
        </w:rPr>
        <w:t xml:space="preserve">                          </w:t>
      </w:r>
    </w:p>
    <w:bookmarkEnd w:id="0"/>
    <w:bookmarkEnd w:id="1"/>
    <w:p w14:paraId="5C25862B">
      <w:pPr>
        <w:pStyle w:val="8"/>
        <w:tabs>
          <w:tab w:val="right" w:pos="9781"/>
          <w:tab w:val="right" w:pos="13323"/>
          <w:tab w:val="clear" w:pos="4153"/>
          <w:tab w:val="clear" w:pos="8306"/>
        </w:tabs>
        <w:outlineLvl w:val="0"/>
        <w:rPr>
          <w:rFonts w:hint="eastAsia" w:ascii="Times New Roman" w:hAnsi="Times New Roman" w:eastAsia="宋体" w:cs="Times New Roman"/>
          <w:b/>
          <w:sz w:val="24"/>
          <w:szCs w:val="24"/>
          <w:highlight w:val="none"/>
          <w:lang w:eastAsia="zh-CN"/>
        </w:rPr>
      </w:pPr>
      <w:r>
        <w:rPr>
          <w:rFonts w:hint="eastAsia"/>
          <w:b/>
          <w:sz w:val="24"/>
          <w:szCs w:val="24"/>
          <w:highlight w:val="none"/>
          <w:lang w:eastAsia="zh-CN"/>
        </w:rPr>
        <w:t>Gothenburg, Sweden, Feb. 09-13</w:t>
      </w:r>
      <w:r>
        <w:rPr>
          <w:rFonts w:hint="default" w:ascii="Times New Roman" w:hAnsi="Times New Roman" w:cs="Times New Roman"/>
          <w:b/>
          <w:bCs/>
          <w:sz w:val="24"/>
          <w:highlight w:val="none"/>
        </w:rPr>
        <w:t>, 202</w:t>
      </w:r>
      <w:r>
        <w:rPr>
          <w:rFonts w:hint="eastAsia" w:eastAsia="宋体" w:cs="Times New Roman"/>
          <w:b/>
          <w:bCs/>
          <w:sz w:val="24"/>
          <w:highlight w:val="none"/>
          <w:lang w:val="en-US" w:eastAsia="zh-CN"/>
        </w:rPr>
        <w:t>6</w:t>
      </w:r>
    </w:p>
    <w:p w14:paraId="25DD33A5">
      <w:pPr>
        <w:tabs>
          <w:tab w:val="left" w:pos="1985"/>
        </w:tabs>
        <w:rPr>
          <w:rFonts w:ascii="Times New Roman" w:hAnsi="Times New Roman"/>
          <w:b/>
          <w:sz w:val="22"/>
          <w:highlight w:val="none"/>
        </w:rPr>
      </w:pPr>
    </w:p>
    <w:p w14:paraId="4D850D59">
      <w:pPr>
        <w:tabs>
          <w:tab w:val="left" w:pos="1765"/>
        </w:tabs>
        <w:rPr>
          <w:rFonts w:hint="default" w:ascii="Times New Roman" w:hAnsi="Times New Roman" w:eastAsia="宋体"/>
          <w:b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>Agenda Item: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7</w:t>
      </w:r>
      <w:r>
        <w:rPr>
          <w:rFonts w:ascii="Times New Roman" w:hAnsi="Times New Roman"/>
          <w:sz w:val="22"/>
          <w:highlight w:val="none"/>
        </w:rPr>
        <w:t>.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12.4</w:t>
      </w:r>
    </w:p>
    <w:p w14:paraId="34FDAAB4">
      <w:pPr>
        <w:tabs>
          <w:tab w:val="left" w:pos="1765"/>
        </w:tabs>
        <w:rPr>
          <w:rFonts w:ascii="Times New Roman" w:hAnsi="Times New Roman"/>
          <w:sz w:val="22"/>
          <w:highlight w:val="none"/>
        </w:rPr>
      </w:pPr>
      <w:r>
        <w:rPr>
          <w:rFonts w:ascii="Times New Roman" w:hAnsi="Times New Roman"/>
          <w:b/>
          <w:sz w:val="22"/>
          <w:highlight w:val="none"/>
        </w:rPr>
        <w:t xml:space="preserve">Source: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sz w:val="22"/>
          <w:highlight w:val="none"/>
        </w:rPr>
        <w:t>CMCC</w:t>
      </w:r>
    </w:p>
    <w:p w14:paraId="2CC4585F">
      <w:pPr>
        <w:rPr>
          <w:rFonts w:hint="default" w:ascii="Times New Roman" w:hAnsi="Times New Roman" w:eastAsia="宋体"/>
          <w:sz w:val="22"/>
          <w:highlight w:val="none"/>
          <w:lang w:val="en-US" w:eastAsia="zh-CN"/>
        </w:rPr>
      </w:pPr>
      <w:r>
        <w:rPr>
          <w:rFonts w:ascii="Times New Roman" w:hAnsi="Times New Roman"/>
          <w:b/>
          <w:sz w:val="22"/>
          <w:highlight w:val="none"/>
        </w:rPr>
        <w:t xml:space="preserve">Title: </w:t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r>
        <w:rPr>
          <w:rFonts w:ascii="Times New Roman" w:hAnsi="Times New Roman"/>
          <w:b/>
          <w:sz w:val="22"/>
          <w:highlight w:val="none"/>
        </w:rPr>
        <w:tab/>
      </w:r>
      <w:bookmarkStart w:id="2" w:name="OLE_LINK23"/>
      <w:bookmarkStart w:id="3" w:name="OLE_LINK24"/>
      <w:bookmarkStart w:id="4" w:name="OLE_LINK7"/>
      <w:bookmarkStart w:id="5" w:name="OLE_LINK8"/>
      <w:r>
        <w:rPr>
          <w:rFonts w:hint="eastAsia" w:ascii="Times New Roman" w:hAnsi="Times New Roman"/>
          <w:b/>
          <w:sz w:val="22"/>
          <w:highlight w:val="none"/>
          <w:lang w:val="en-US" w:eastAsia="zh-CN"/>
        </w:rPr>
        <w:t xml:space="preserve"> </w:t>
      </w:r>
      <w:bookmarkEnd w:id="2"/>
      <w:bookmarkEnd w:id="3"/>
      <w:r>
        <w:rPr>
          <w:rFonts w:ascii="Times New Roman" w:hAnsi="Times New Roman"/>
          <w:sz w:val="22"/>
          <w:highlight w:val="none"/>
        </w:rPr>
        <w:t>D</w:t>
      </w:r>
      <w:r>
        <w:rPr>
          <w:rFonts w:hint="eastAsia" w:ascii="Times New Roman" w:hAnsi="Times New Roman"/>
          <w:sz w:val="22"/>
          <w:highlight w:val="none"/>
        </w:rPr>
        <w:t xml:space="preserve">iscussion on </w:t>
      </w:r>
      <w:r>
        <w:rPr>
          <w:rFonts w:hint="eastAsia" w:ascii="Times New Roman" w:hAnsi="Times New Roman"/>
          <w:sz w:val="22"/>
          <w:highlight w:val="none"/>
          <w:lang w:val="en-US" w:eastAsia="zh-CN"/>
        </w:rPr>
        <w:t>measurement event prediction</w:t>
      </w:r>
    </w:p>
    <w:bookmarkEnd w:id="4"/>
    <w:bookmarkEnd w:id="5"/>
    <w:p w14:paraId="0006DBE2">
      <w:pPr>
        <w:tabs>
          <w:tab w:val="left" w:pos="1765"/>
        </w:tabs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Document for:</w:t>
      </w:r>
      <w:r>
        <w:rPr>
          <w:rFonts w:ascii="Times New Roman" w:hAnsi="Times New Roman"/>
          <w:b/>
          <w:sz w:val="22"/>
        </w:rPr>
        <w:tab/>
      </w:r>
      <w:r>
        <w:rPr>
          <w:rFonts w:ascii="Times New Roman" w:hAnsi="Times New Roman"/>
          <w:sz w:val="22"/>
        </w:rPr>
        <w:t>Discussion</w:t>
      </w:r>
      <w:r>
        <w:rPr>
          <w:rFonts w:hint="eastAsia" w:ascii="Times New Roman" w:hAnsi="Times New Roman"/>
          <w:sz w:val="22"/>
        </w:rPr>
        <w:t xml:space="preserve"> </w:t>
      </w:r>
    </w:p>
    <w:p w14:paraId="15C959F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3A1774DF">
      <w:pPr>
        <w:spacing w:after="180" w:line="24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108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new W</w:t>
      </w:r>
      <w:r>
        <w:rPr>
          <w:rFonts w:ascii="Times New Roman" w:hAnsi="Times New Roman"/>
          <w:sz w:val="20"/>
          <w:szCs w:val="20"/>
        </w:rPr>
        <w:t xml:space="preserve">ID on </w:t>
      </w:r>
      <w:r>
        <w:rPr>
          <w:rFonts w:hint="eastAsia" w:ascii="Times New Roman" w:hAnsi="Times New Roman"/>
          <w:sz w:val="20"/>
          <w:szCs w:val="20"/>
        </w:rPr>
        <w:t>AI (Artificial Intelligence)/ML (Machine Learning) for mobility in NR</w:t>
      </w:r>
      <w:r>
        <w:rPr>
          <w:rFonts w:ascii="Times New Roman" w:hAnsi="Times New Roman"/>
          <w:sz w:val="20"/>
          <w:szCs w:val="20"/>
        </w:rPr>
        <w:t xml:space="preserve">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sz w:val="20"/>
          <w:szCs w:val="20"/>
        </w:rPr>
        <w:t>].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>In RAN #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109</w:t>
      </w:r>
      <w:r>
        <w:rPr>
          <w:rFonts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</w:rPr>
        <w:t>the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revised W</w:t>
      </w:r>
      <w:r>
        <w:rPr>
          <w:rFonts w:ascii="Times New Roman" w:hAnsi="Times New Roman"/>
          <w:sz w:val="20"/>
          <w:szCs w:val="20"/>
        </w:rPr>
        <w:t xml:space="preserve">ID on </w:t>
      </w:r>
      <w:r>
        <w:rPr>
          <w:rFonts w:hint="eastAsia" w:ascii="Times New Roman" w:hAnsi="Times New Roman"/>
          <w:sz w:val="20"/>
          <w:szCs w:val="20"/>
        </w:rPr>
        <w:t>AI (Artificial Intelligence)/ML (Machine Learning) for mobility in NR</w:t>
      </w:r>
      <w:r>
        <w:rPr>
          <w:rFonts w:ascii="Times New Roman" w:hAnsi="Times New Roman"/>
          <w:sz w:val="20"/>
          <w:szCs w:val="20"/>
        </w:rPr>
        <w:t xml:space="preserve"> was approved [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]. The objectives for RAN4 are duplicated as following.</w:t>
      </w:r>
    </w:p>
    <w:tbl>
      <w:tblPr>
        <w:tblStyle w:val="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 w14:paraId="03F30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930" w:type="dxa"/>
            <w:noWrap w:val="0"/>
            <w:vAlign w:val="top"/>
          </w:tcPr>
          <w:p w14:paraId="3B720661">
            <w:pPr>
              <w:numPr>
                <w:ilvl w:val="0"/>
                <w:numId w:val="4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120"/>
              <w:ind w:left="240" w:leftChars="0"/>
              <w:textAlignment w:val="auto"/>
              <w:rPr>
                <w:rFonts w:hint="default" w:ascii="Times New Roman" w:hAnsi="Times New Roman" w:eastAsia="MS Mincho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eastAsia="MS Mincho" w:cs="Times New Roman"/>
                <w:bCs/>
                <w:sz w:val="20"/>
                <w:szCs w:val="20"/>
              </w:rPr>
              <w:t xml:space="preserve">For both RRM measurement prediction and measurement event prediction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for UE sided model </w:t>
            </w:r>
            <w:r>
              <w:rPr>
                <w:rFonts w:hint="default" w:ascii="Times New Roman" w:hAnsi="Times New Roman" w:eastAsia="MS Mincho" w:cs="Times New Roman"/>
                <w:bCs/>
                <w:sz w:val="20"/>
                <w:szCs w:val="20"/>
              </w:rPr>
              <w:t>[RAN4]:</w:t>
            </w:r>
          </w:p>
          <w:p w14:paraId="206B9E1E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960" w:left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Specify core requirements for the use cases and scenarios supported by the previous objectives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for RRM measurement prediction and indirect measurement event prediction</w:t>
            </w:r>
          </w:p>
          <w:p w14:paraId="623AB6A6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120"/>
              <w:ind w:left="1680" w:left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>Note 6: RAN4 is expected to investigate whether the core requirement for RRM measurement prediction can be reused for indirect measurement event prediction</w:t>
            </w:r>
          </w:p>
          <w:p w14:paraId="63B8CB19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960" w:left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 xml:space="preserve">For direct event prediction, study feasibility of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core </w:t>
            </w: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requirement in Q2 2026.</w:t>
            </w:r>
          </w:p>
          <w:p w14:paraId="357CCC2B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ind w:left="960" w:leftChars="0"/>
              <w:textAlignment w:val="auto"/>
              <w:rPr>
                <w:rFonts w:hint="default"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Cs/>
                <w:sz w:val="20"/>
                <w:szCs w:val="20"/>
              </w:rPr>
              <w:t>Specify LCM-related core requirements to support the LCM functionality management , if any</w:t>
            </w:r>
          </w:p>
        </w:tc>
      </w:tr>
    </w:tbl>
    <w:p w14:paraId="64217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0" w:after="180" w:line="240" w:lineRule="auto"/>
        <w:textAlignment w:val="auto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last meeting, there is initial discussion on Artificial Intelligence (AI)/Machine Learning (ML) for mobility, and a WF was approved [3]. This </w:t>
      </w:r>
      <w:r>
        <w:rPr>
          <w:rFonts w:hint="eastAsia" w:ascii="Times New Roman" w:hAnsi="Times New Roman"/>
          <w:sz w:val="20"/>
          <w:szCs w:val="20"/>
        </w:rPr>
        <w:t>contribution provides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discussion 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RAN4 impacts for indirect measurement event prediction</w:t>
      </w:r>
      <w:r>
        <w:rPr>
          <w:rFonts w:hint="eastAsia" w:ascii="Times New Roman" w:hAnsi="Times New Roman"/>
          <w:sz w:val="20"/>
          <w:szCs w:val="20"/>
        </w:rPr>
        <w:t>.</w:t>
      </w:r>
    </w:p>
    <w:p w14:paraId="17263EFA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hint="eastAsia" w:ascii="Times New Roman" w:hAnsi="Times New Roman"/>
          <w:b w:val="0"/>
          <w:bCs w:val="0"/>
          <w:kern w:val="0"/>
          <w:sz w:val="36"/>
          <w:szCs w:val="36"/>
          <w:lang w:eastAsia="zh-CN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 xml:space="preserve">Discussion </w:t>
      </w:r>
      <w:bookmarkStart w:id="6" w:name="OLE_LINK1"/>
      <w:bookmarkStart w:id="7" w:name="OLE_LINK2"/>
      <w:r>
        <w:rPr>
          <w:rFonts w:ascii="Times New Roman" w:hAnsi="Times New Roman"/>
          <w:i/>
          <w:sz w:val="20"/>
          <w:szCs w:val="20"/>
        </w:rPr>
        <w:t xml:space="preserve">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7982F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407B688B">
            <w:pPr>
              <w:bidi w:val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Issue 3-1-1: Core requirements for indirect measurement event prediction</w:t>
            </w:r>
          </w:p>
          <w:p w14:paraId="44C635F7">
            <w:pPr>
              <w:spacing w:before="120" w:beforeLines="50" w:after="120" w:afterLines="50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Way forward: </w:t>
            </w:r>
          </w:p>
          <w:p w14:paraId="2DBAEC31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Further discuss the following issues based on the proposals in [1]: </w:t>
            </w:r>
          </w:p>
          <w:p w14:paraId="1BFCB7FB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Issue 1: Whether the core requirements defined for RRM measurement prediction can be reused for indirect measurement event prediction. </w:t>
            </w:r>
          </w:p>
          <w:p w14:paraId="492AE941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Issue 2: The specific core requirements defined for indirect measurement event prediction. </w:t>
            </w:r>
          </w:p>
          <w:p w14:paraId="65DD8661">
            <w:pPr>
              <w:pStyle w:val="12"/>
              <w:numPr>
                <w:ilvl w:val="2"/>
                <w:numId w:val="6"/>
              </w:numPr>
              <w:snapToGrid w:val="0"/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Issue 3: The impact of indirect event prediction on other RRM requirements (e.g., HO/CHO).</w:t>
            </w:r>
          </w:p>
          <w:p w14:paraId="1272F55D">
            <w:pPr>
              <w:bidi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  <w:p w14:paraId="6BACC2B6">
            <w:pPr>
              <w:bidi w:val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Issue 3-2-2: Predicted RSRP accuracy requirements</w:t>
            </w:r>
          </w:p>
          <w:p w14:paraId="5DB6BED2">
            <w:pPr>
              <w:pStyle w:val="12"/>
              <w:numPr>
                <w:ilvl w:val="0"/>
                <w:numId w:val="7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cs="Times New Roman"/>
                <w:color w:val="0070C0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70C0"/>
                <w:sz w:val="20"/>
                <w:szCs w:val="20"/>
                <w:lang w:eastAsia="zh-CN"/>
              </w:rPr>
              <w:t>Proposals and Observations:</w:t>
            </w:r>
          </w:p>
          <w:p w14:paraId="048C25C3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Proposal 1 (Nokia): </w:t>
            </w:r>
          </w:p>
          <w:p w14:paraId="0F9152AE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RAN4 to consider following performance metrics for indirect measurement event prediction.</w:t>
            </w:r>
          </w:p>
          <w:p w14:paraId="3D807819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Event Prediction Reporting RSRP Accuracy: Refers to the accuracy of the reported relative /absolute predicted RSRP values associated with the event, compared to ground truth value.</w:t>
            </w:r>
          </w:p>
          <w:p w14:paraId="0463759A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Proposal 1a (OPPO, CMCC, ZTE, Samsung, LGE): </w:t>
            </w:r>
          </w:p>
          <w:p w14:paraId="55789BFF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The absolute and/or relative accuracy requirements defined for measurement prediction can be also reused for the predicted L3-RSRP in indirect measurement event prediction.</w:t>
            </w:r>
          </w:p>
          <w:p w14:paraId="19972A14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Proposal 1b (Apple, Nokia):</w:t>
            </w:r>
          </w:p>
          <w:p w14:paraId="77935724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RAN4 shall assume similar RSRP accuracy requirements as those applied to predicted measurement RSRPs. The applicable accuracy levels may be further refined considering key factors such as observation-window length, prediction-window duration, and other configuration parameters. </w:t>
            </w:r>
          </w:p>
          <w:p w14:paraId="1077FFAB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Proposal 2-1 (MTK): </w:t>
            </w:r>
          </w:p>
          <w:p w14:paraId="66980FB2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Prefer not to define a set of requirements for different TTT values. Further discuss which TTT value to define requirements for.</w:t>
            </w:r>
          </w:p>
          <w:p w14:paraId="0363386A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For measurement event prediction, for the purpose of defining requirements, the assumed UE behaviour is that UE starts to predict when enter condition of the event is met.</w:t>
            </w:r>
          </w:p>
          <w:p w14:paraId="7B401E7D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Proposal 2-2: (Xiaomi)</w:t>
            </w:r>
          </w:p>
          <w:p w14:paraId="07414DEA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RAN4 to define requirement for RRM results in predicted event triggered reporting.</w:t>
            </w:r>
          </w:p>
          <w:p w14:paraId="3FA87EEB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The TTT configuration needs to be explicitly considered in defining requirements for event prediction.</w:t>
            </w:r>
          </w:p>
          <w:p w14:paraId="6166AFD9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Proposal 2-3 (LGE): </w:t>
            </w:r>
          </w:p>
          <w:p w14:paraId="0E7CB634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the TTT configuration does not need to be considered as the side condition. </w:t>
            </w:r>
          </w:p>
          <w:p w14:paraId="05727B5D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Proposal 3: (QC)</w:t>
            </w:r>
          </w:p>
          <w:p w14:paraId="13F344A1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The performance metrics for AI/ML-based measurement event prediction include, but are not necessarily limited to, the following:</w:t>
            </w:r>
          </w:p>
          <w:p w14:paraId="769C7D8C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L3-RSRP accuracy:</w:t>
            </w:r>
          </w:p>
          <w:p w14:paraId="6C895260">
            <w:pPr>
              <w:pStyle w:val="12"/>
              <w:numPr>
                <w:ilvl w:val="4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RAN4 to further clarify “In case of indirect measurement event prediction use case, if the report includes the predicted RSRPs [corresponding to the predicted event occurrence time], RAN4 will define requirement for the absolute and/or relative accuracy of predicted RSRP” agreed upon at RAN4#114 as follows:</w:t>
            </w:r>
          </w:p>
          <w:p w14:paraId="1DA2B124">
            <w:pPr>
              <w:pStyle w:val="12"/>
              <w:numPr>
                <w:ilvl w:val="5"/>
                <w:numId w:val="6"/>
              </w:numPr>
              <w:spacing w:before="120" w:beforeLines="50" w:after="0"/>
              <w:ind w:firstLineChars="0"/>
              <w:jc w:val="both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For the absolute and/or relative accuracy of the predicted L3-RSRP, if the predicted event report includes predicted L3-RSRPs, the corresponding ground truth should be taken from the predicted event occurrence time, not the actual ground truth event occurrence time.</w:t>
            </w:r>
          </w:p>
          <w:p w14:paraId="453E1B01">
            <w:pPr>
              <w:pStyle w:val="12"/>
              <w:numPr>
                <w:ilvl w:val="0"/>
                <w:numId w:val="0"/>
              </w:numPr>
              <w:snapToGrid w:val="0"/>
              <w:spacing w:before="120" w:beforeLines="50" w:after="0"/>
              <w:jc w:val="both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0E341E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</w:p>
    <w:p w14:paraId="0255BC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According to RAN2 agreements in Rel-19 study, f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or indirect measurement event prediction, the intermediate output (i.e., the output of RRM prediction model) is RSRP of serving/neighboring cells. The final output is the expected occurrence time of a certain measurement event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. 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5F1F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DFFDA5D">
            <w:pPr>
              <w:spacing w:before="240" w:after="160" w:line="280" w:lineRule="atLeast"/>
              <w:jc w:val="both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Agreements in RAN2#127bis</w:t>
            </w:r>
          </w:p>
          <w:p w14:paraId="4B1F6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 on inputs/outputs and KPIs</w:t>
            </w:r>
          </w:p>
          <w:p w14:paraId="7633D9FC">
            <w:pPr>
              <w:pStyle w:val="16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  <w:highlight w:val="cyan"/>
              </w:rPr>
              <w:t>For indirect measurement event prediction, the intermediate output (i.e., the output of RRM prediction model) is RSRP of serving/neighboring cells.  The final output is the expected occurrence time of a certain measurement event (ex. event A3).</w:t>
            </w:r>
          </w:p>
          <w:p w14:paraId="1F99E4E0">
            <w:pPr>
              <w:pStyle w:val="16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0"/>
                <w:szCs w:val="20"/>
                <w:highlight w:val="none"/>
              </w:rPr>
              <w:t>For direct measurement event prediction, the model output is the probability of event occurrence within a time window.</w:t>
            </w:r>
          </w:p>
          <w:p w14:paraId="3F6DFB72">
            <w:pPr>
              <w:pStyle w:val="15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A3 event prediction should follow legacy rules (i.e. the “predicted” conditions have to persist for the duration of TTT).  </w:t>
            </w:r>
          </w:p>
          <w:p w14:paraId="727FCC13">
            <w:pPr>
              <w:pStyle w:val="15"/>
              <w:numPr>
                <w:ilvl w:val="0"/>
                <w:numId w:val="8"/>
              </w:numPr>
              <w:overflowPunct/>
              <w:autoSpaceDE/>
              <w:autoSpaceDN/>
              <w:adjustRightInd/>
              <w:ind w:left="360"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As baseline, we will use RLF event prediction KPI:</w:t>
            </w:r>
          </w:p>
          <w:p w14:paraId="12E4BDCF">
            <w:pPr>
              <w:pStyle w:val="15"/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indirect: F1 score.  the following can be reported: RSRP difference, missed event detection, false event detection.  FFS how to define F1 score.  </w:t>
            </w:r>
          </w:p>
          <w:p w14:paraId="72ABF83E">
            <w:pPr>
              <w:pStyle w:val="15"/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time difference of true time event reporting triggered and predicted time event reporting triggered, true event prediction. </w:t>
            </w:r>
          </w:p>
          <w:p w14:paraId="390C6175">
            <w:pPr>
              <w:pStyle w:val="15"/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for direct: F1 score.  The following can be reported: missed event detection, false event detection,</w:t>
            </w:r>
          </w:p>
          <w:p w14:paraId="029DD90B">
            <w:pPr>
              <w:pStyle w:val="15"/>
              <w:numPr>
                <w:ilvl w:val="0"/>
                <w:numId w:val="9"/>
              </w:numPr>
              <w:overflowPunct/>
              <w:autoSpaceDE/>
              <w:autoSpaceDN/>
              <w:adjustRightInd/>
              <w:textAlignment w:val="auto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Continue discussion over email discussion to see if there is a difference.  </w:t>
            </w:r>
          </w:p>
          <w:p w14:paraId="56C207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4897AE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</w:p>
    <w:p w14:paraId="4C183B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For indirect event prediction, the requirements for the predicted event triggered reporting including, but not limited to, delay and accuracy requirements and the performance metrics are considered. In RAN4 Rel-19 study, it was agreed that in case of indirect measurement event prediction use case, if the report includes the predicted RSRPs corresponding to the predicted event occurrence time, the absolute and/or relative accuracy requirement for the predicted RSRP will be defined. This agreement is still valid for Rel-20 discussion. It is proposed to follow previous agreement to define requirement for the absolute and/or relative accuracy of predicted RSRP for indirect measurement event prediction use case.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3CD1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1EDB22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  <w:t>Agreements in RAN4#115 (R4-2508268)</w:t>
            </w:r>
          </w:p>
          <w:p w14:paraId="29F9DFB4">
            <w:pPr>
              <w:snapToGrid w:val="0"/>
              <w:spacing w:after="120"/>
              <w:rPr>
                <w:rFonts w:hint="default" w:ascii="Times New Roman" w:hAnsi="Times New Roman" w:cs="Times New Roman"/>
                <w:sz w:val="20"/>
                <w:szCs w:val="20"/>
                <w:highlight w:val="none"/>
                <w:lang w:val="sv-SE" w:eastAsia="zh-CN"/>
              </w:rPr>
            </w:pPr>
            <w:r>
              <w:rPr>
                <w:rFonts w:hint="default" w:ascii="Times New Roman" w:hAnsi="Times New Roman" w:cs="Times New Roman"/>
                <w:b/>
                <w:sz w:val="20"/>
                <w:szCs w:val="20"/>
                <w:highlight w:val="none"/>
                <w:u w:val="single"/>
              </w:rPr>
              <w:t>Issue 3-1: Performance metric for event prediction use case</w:t>
            </w:r>
          </w:p>
          <w:p w14:paraId="7A4A00C2">
            <w:pPr>
              <w:snapToGrid w:val="0"/>
              <w:spacing w:before="100" w:beforeAutospacing="1" w:after="120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Agreement:</w:t>
            </w:r>
          </w:p>
          <w:p w14:paraId="5B3454DF">
            <w:pPr>
              <w:snapToGrid w:val="0"/>
              <w:spacing w:before="100" w:beforeAutospacing="1" w:after="120"/>
              <w:rPr>
                <w:rFonts w:hint="default" w:ascii="Times New Roman" w:hAnsi="Times New Roman" w:eastAsia="MS Mincho" w:cs="Times New Roman"/>
                <w:b/>
                <w:bCs/>
                <w:sz w:val="20"/>
                <w:szCs w:val="20"/>
                <w:highlight w:val="none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In case of indirect measurement event prediction use case, if the report includes the predicted RSRPs [corresponding to the predicted event occurrence time], RAN4 will define requirement for the absolute and/or relative accuracy of predicted RSRP.</w:t>
            </w:r>
          </w:p>
          <w:p w14:paraId="5E780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6CB9D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</w:p>
    <w:p w14:paraId="5C7995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1: for indirect measurement event prediction use case, it is proposed to follow the agreements in study phase that if the report includes the predicted RSRP, the absolute and/or relative accuracy requirement for the predicted RSRP will be defined.  </w:t>
      </w:r>
    </w:p>
    <w:p w14:paraId="1AD67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According to the WID, temporal domain prediction case A, temporal domain prediction case B, and frequency domain prediction for co-located cases are considered. The definitions of indirect measurement event prediction in RAN2 is duplicated as below. Taking temporal domain case A as an example, 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 It can be seen that for indirect measurement event prediction, the 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intermediate output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 is same as that for RRM measurement prediction. The discussion and conclusion on RRM measurement prediction can be reused.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20EBF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67E14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  <w:u w:val="single"/>
                <w:lang w:val="en-US" w:eastAsia="zh-CN"/>
              </w:rPr>
              <w:t>Agreements in RAN2#128</w:t>
            </w:r>
          </w:p>
          <w:p w14:paraId="220E8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80" w:line="240" w:lineRule="auto"/>
              <w:textAlignment w:val="auto"/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 w:val="0"/>
                <w:iCs/>
                <w:sz w:val="20"/>
                <w:szCs w:val="20"/>
                <w:u w:val="none"/>
                <w:vertAlign w:val="baseline"/>
                <w:lang w:val="en-US" w:eastAsia="zh-CN"/>
              </w:rPr>
              <w:t>Agreements on event prediction</w:t>
            </w:r>
          </w:p>
          <w:p w14:paraId="3927E722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 xml:space="preserve">Agree to listed 4 definitions of indirect measurement event prediction </w:t>
            </w:r>
          </w:p>
          <w:p w14:paraId="5811E947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  <w:t>Indirect measurement event prediction for temporal domain case A:</w:t>
            </w:r>
          </w:p>
          <w:p w14:paraId="6D88E764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In indirect measurement event prediction, future measurement result(s) is predicted by a RRM measurement prediction model for intra-frequency temporal domain case A at first. Afterwards, predicted and optionally actual historical measurement result(s) are used to derive whether a measurement event at one future time instance occurs, without further involvement of an AI/ML model.</w:t>
            </w:r>
          </w:p>
          <w:p w14:paraId="1B602A62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  <w:t>Indirect measurement event prediction for temporal domain case B:</w:t>
            </w:r>
          </w:p>
          <w:p w14:paraId="74790DFE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In indirect measurement event prediction, measurement result(s) is predicted by a RRM measurement prediction model  for intra-frequency temporal domain case B at first. Afterwards, predicted and optionally actual historical measurement result(s) are used to derive whether a measurement event at one time instance occurs, without further involvement of an AI/ML model.</w:t>
            </w:r>
          </w:p>
          <w:p w14:paraId="5834753A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  <w:t>Indirect measurement event prediction for frequency domain:</w:t>
            </w:r>
          </w:p>
          <w:p w14:paraId="5E6D6ED4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In indirect measurement event prediction, measurement result(s) is predicted by a RRM measurement prediction model in frequency domain at first. Afterwards, predicted and optional actual historical measurement result(s) of serving cell are used to derive whether a measurement event at one time instance occurs, without further involvement of an AI/ML model.</w:t>
            </w:r>
          </w:p>
          <w:p w14:paraId="12AEBD63">
            <w:pPr>
              <w:pStyle w:val="15"/>
              <w:ind w:left="544"/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0"/>
                <w:szCs w:val="20"/>
                <w:highlight w:val="none"/>
              </w:rPr>
              <w:t>Indirect measurement event prediction for spatial domain:</w:t>
            </w:r>
          </w:p>
          <w:p w14:paraId="2CD763D4">
            <w:pPr>
              <w:pStyle w:val="15"/>
              <w:ind w:left="544"/>
              <w:rPr>
                <w:rFonts w:hint="default" w:ascii="Times New Roman" w:hAnsi="Times New Roman" w:cs="Times New Roman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 xml:space="preserve">In indirect measurement event prediction, measurement result(s) is predicted by a RRM measurement prediction model in spatial domain at first. Afterwards, predicted measurement result(s)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  <w:u w:val="single"/>
              </w:rPr>
              <w:t xml:space="preserve">and actual measurement results </w:t>
            </w:r>
            <w:r>
              <w:rPr>
                <w:rFonts w:hint="default" w:ascii="Times New Roman" w:hAnsi="Times New Roman" w:cs="Times New Roman"/>
                <w:sz w:val="20"/>
                <w:szCs w:val="20"/>
                <w:highlight w:val="none"/>
              </w:rPr>
              <w:t>are used to derive whether a measurement event at one time instance occurs, without further involvement of an AI/ML model</w:t>
            </w:r>
          </w:p>
          <w:p w14:paraId="641CA855">
            <w:pPr>
              <w:pStyle w:val="15"/>
              <w:ind w:left="363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input of model for RRM measurement prediction can be reused as baseline for corresponding direct measurement event prediction. Additional input(s) is also allowed.</w:t>
            </w:r>
          </w:p>
          <w:p w14:paraId="43BB3EB3">
            <w:pPr>
              <w:pStyle w:val="15"/>
              <w:ind w:left="363"/>
              <w:rPr>
                <w:rFonts w:hint="eastAsia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intra-frequency temporal domain case B indirect measurement event prediction is taken as baseline. Direct prediction is optional. </w:t>
            </w:r>
          </w:p>
        </w:tc>
      </w:tr>
    </w:tbl>
    <w:p w14:paraId="068F3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</w:p>
    <w:p w14:paraId="37952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Proposal 2: for indirect measurement event prediction use case, the core requirements for RRM measurement prediction can be reused</w:t>
      </w:r>
    </w:p>
    <w:p w14:paraId="79BA3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Proposal 3: for indirect measurement event prediction use case, for the requirements for the absolute and/or relative accuracy of predicted RSRP, the conclusion for RRM measurement prediction can be reused.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1"/>
      </w:tblGrid>
      <w:tr w14:paraId="11E4C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31" w:type="dxa"/>
          </w:tcPr>
          <w:p w14:paraId="777FB6C3">
            <w:pPr>
              <w:bidi w:val="0"/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>Issue 3-2-1: Performance metrics for indirect measurement event prediction</w:t>
            </w:r>
          </w:p>
          <w:p w14:paraId="55085FDA">
            <w:pPr>
              <w:spacing w:before="120" w:beforeLines="50" w:after="120" w:afterLines="50"/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Further discuss based on the open issues in [1] and the following way forward: </w:t>
            </w:r>
          </w:p>
          <w:p w14:paraId="4CE4DA2E">
            <w:pPr>
              <w:pStyle w:val="12"/>
              <w:numPr>
                <w:ilvl w:val="1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Discuss whether the following performance metrics need to be defined and align the understanding on the definitions: </w:t>
            </w:r>
          </w:p>
          <w:p w14:paraId="3AA60876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Option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 1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: Required window length under certain precision/accuracy</w:t>
            </w:r>
          </w:p>
          <w:p w14:paraId="70B3338A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Option 1-1: define ETD of event prediction as a requirement, under the conditions of certain fixed precision and recall or F1 score. </w:t>
            </w:r>
          </w:p>
          <w:p w14:paraId="7B36021A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Option 1-2: define ETD of event prediction as a requirement, under the condition of certain event prediction accuracy (e.g., true event prediction or false event prediction). </w:t>
            </w:r>
          </w:p>
          <w:p w14:paraId="78016449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Option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 2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: Required precision/accuracy under certain window length</w:t>
            </w:r>
          </w:p>
          <w:p w14:paraId="25CD2899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Option 2-1: define precision and recall or F1 score of event prediction as a requirement, under the condition of certain fixed ETD. </w:t>
            </w:r>
          </w:p>
          <w:p w14:paraId="1D170A6C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Option 2-2: define event prediction accuracy (e.g., true event prediction or false event prediction) of event prediction as a requirement, under the condition of certain fixed ETD. </w:t>
            </w:r>
          </w:p>
          <w:p w14:paraId="10834E16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Option 2-3: Windowed precision ≥ P_min </w:t>
            </w:r>
          </w:p>
          <w:p w14:paraId="174892A1">
            <w:pPr>
              <w:pStyle w:val="12"/>
              <w:numPr>
                <w:ilvl w:val="4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Precision is the ratio of correctly predicted A3 events to all predicted events, counting only matches within the allowed lead-time window. </w:t>
            </w:r>
          </w:p>
          <w:p w14:paraId="4CA9DF33">
            <w:pPr>
              <w:pStyle w:val="12"/>
              <w:numPr>
                <w:ilvl w:val="2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Option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 3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 xml:space="preserve">: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Lead-time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of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event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eastAsia="zh-CN"/>
              </w:rPr>
              <w:t>prediction</w:t>
            </w:r>
          </w:p>
          <w:p w14:paraId="1714739E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Option 3-1: Lead-time window [L_min, L_max] </w:t>
            </w:r>
          </w:p>
          <w:p w14:paraId="139C40DA">
            <w:pPr>
              <w:pStyle w:val="12"/>
              <w:numPr>
                <w:ilvl w:val="4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 xml:space="preserve">Each accepted prediction must arrive at least L_min but no more than L_max before the actual A3 trigger. </w:t>
            </w:r>
          </w:p>
          <w:p w14:paraId="773DD90F">
            <w:pPr>
              <w:pStyle w:val="12"/>
              <w:numPr>
                <w:ilvl w:val="3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Option 3-2: Event prediction latency (i.e., how far ahead of the actual ground truth event occurrence time the event is predicted):</w:t>
            </w:r>
          </w:p>
          <w:p w14:paraId="78F9249D">
            <w:pPr>
              <w:pStyle w:val="12"/>
              <w:numPr>
                <w:ilvl w:val="4"/>
                <w:numId w:val="6"/>
              </w:numPr>
              <w:spacing w:before="120" w:beforeLines="50" w:after="0"/>
              <w:ind w:firstLineChars="0"/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  <w:lang w:eastAsia="ko-KR"/>
              </w:rPr>
              <w:t>It is defined as the time gap between the report time of the predicted event and the actual occurrence time of the ground truth event.</w:t>
            </w:r>
          </w:p>
          <w:p w14:paraId="3EF1978B">
            <w:pPr>
              <w:spacing w:after="180" w:line="240" w:lineRule="exact"/>
              <w:rPr>
                <w:rFonts w:hint="default" w:ascii="Times New Roman" w:hAnsi="Times New Roman" w:eastAsia="等线" w:cs="Times New Roman"/>
                <w:bCs/>
                <w:iCs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 w14:paraId="28E43DDD">
      <w:pPr>
        <w:spacing w:after="180" w:line="240" w:lineRule="exact"/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</w:p>
    <w:p w14:paraId="620F4D65">
      <w:pPr>
        <w:spacing w:after="180" w:line="240" w:lineRule="exact"/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The final output 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for indirect measurement event prediction 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is the expected occurrence time of a certain measurement event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. In legacy, there is no RAN4 requirements on the</w:t>
      </w:r>
      <w:r>
        <w:rPr>
          <w:rFonts w:hint="eastAsia" w:ascii="Times New Roman" w:hAnsi="Times New Roman" w:eastAsia="等线"/>
          <w:bCs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eastAsia="等线" w:cs="Times New Roman"/>
          <w:bCs/>
          <w:iCs/>
          <w:sz w:val="20"/>
          <w:szCs w:val="20"/>
          <w:lang w:val="en-US" w:eastAsia="zh-CN"/>
        </w:rPr>
        <w:t>expected occurrence time of a</w:t>
      </w:r>
      <w:r>
        <w:rPr>
          <w:rFonts w:hint="eastAsia" w:ascii="Times New Roman" w:hAnsi="Times New Roman" w:eastAsia="等线" w:cs="Times New Roman"/>
          <w:bCs/>
          <w:iCs/>
          <w:sz w:val="20"/>
          <w:szCs w:val="20"/>
          <w:lang w:val="en-US" w:eastAsia="zh-CN"/>
        </w:rPr>
        <w:t xml:space="preserve"> event. It is necessary to discuss whether and how to define related RAN4 requirements.</w:t>
      </w:r>
    </w:p>
    <w:p w14:paraId="58045F7F">
      <w:pPr>
        <w:spacing w:after="180" w:line="240" w:lineRule="exact"/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4: 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highlight w:val="none"/>
          <w:lang w:val="en-US" w:eastAsia="zh-CN"/>
        </w:rPr>
        <w:t>for in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direct measurement event prediction, it is proposed to discuss whether and how to define RRM requirements for the final output (e.g.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expected occurrence time of a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event for indirect prediction).  </w:t>
      </w:r>
    </w:p>
    <w:p w14:paraId="0465AA55">
      <w:pPr>
        <w:spacing w:after="180" w:line="240" w:lineRule="exact"/>
        <w:rPr>
          <w:rFonts w:hint="default" w:ascii="Times New Roman" w:hAnsi="Times New Roman" w:eastAsia="等线"/>
          <w:bCs/>
          <w:iCs/>
          <w:sz w:val="20"/>
          <w:szCs w:val="20"/>
          <w:lang w:val="en-US" w:eastAsia="zh-CN"/>
        </w:rPr>
      </w:pPr>
    </w:p>
    <w:bookmarkEnd w:id="6"/>
    <w:bookmarkEnd w:id="7"/>
    <w:p w14:paraId="2F63EDFF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</w:rPr>
        <w:t>Conclusion</w:t>
      </w:r>
    </w:p>
    <w:p w14:paraId="212FE524">
      <w:pPr>
        <w:tabs>
          <w:tab w:val="left" w:pos="1134"/>
        </w:tabs>
        <w:spacing w:after="180" w:line="240" w:lineRule="exact"/>
        <w:rPr>
          <w:rFonts w:hint="eastAsia"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</w:rPr>
        <w:t>his contribution</w:t>
      </w:r>
      <w:r>
        <w:rPr>
          <w:rFonts w:hint="eastAsia" w:ascii="Times New Roman" w:hAnsi="Times New Roman"/>
          <w:sz w:val="20"/>
          <w:szCs w:val="20"/>
        </w:rPr>
        <w:t xml:space="preserve"> provides discussion on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RRM requirements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 for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indirect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measurement event prediction</w:t>
      </w:r>
      <w:r>
        <w:rPr>
          <w:rFonts w:hint="eastAsia" w:ascii="Times New Roman" w:hAnsi="Times New Roman" w:eastAsia="宋体"/>
          <w:sz w:val="20"/>
          <w:szCs w:val="20"/>
        </w:rPr>
        <w:t>. The proposals are:</w:t>
      </w:r>
    </w:p>
    <w:p w14:paraId="21D8A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1: for indirect measurement event prediction use case, it is proposed to follow the agreements in study phase that if the report includes the predicted RSRP, the absolute and/or relative accuracy requirement for the predicted RSRP will be defined.  </w:t>
      </w:r>
    </w:p>
    <w:p w14:paraId="5F0C89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Proposal 2: for indirect measurement event prediction use case, the core requirements for RRM measurement prediction can be reused</w:t>
      </w:r>
    </w:p>
    <w:p w14:paraId="336E7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 w:line="240" w:lineRule="auto"/>
        <w:textAlignment w:val="auto"/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Proposal 3: for indirect measurement event prediction use case, for the requirements for the absolute and/or relative accuracy of predicted RSRP, the conclusion for RRM measurement prediction can be reused.</w:t>
      </w:r>
    </w:p>
    <w:p w14:paraId="1CCF33F1">
      <w:pPr>
        <w:spacing w:after="180" w:line="240" w:lineRule="exact"/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Proposal 4: </w:t>
      </w:r>
      <w:r>
        <w:rPr>
          <w:rFonts w:hint="eastAsia" w:ascii="Times New Roman" w:hAnsi="Times New Roman" w:eastAsia="等线"/>
          <w:b/>
          <w:bCs w:val="0"/>
          <w:i/>
          <w:iCs w:val="0"/>
          <w:sz w:val="20"/>
          <w:szCs w:val="20"/>
          <w:highlight w:val="none"/>
          <w:lang w:val="en-US" w:eastAsia="zh-CN"/>
        </w:rPr>
        <w:t>for in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direct measurement event prediction, it is proposed to discuss whether and how to define RRM requirements for the final output (e.g. </w:t>
      </w:r>
      <w:r>
        <w:rPr>
          <w:rFonts w:hint="default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>expected occurrence time of a</w:t>
      </w:r>
      <w:r>
        <w:rPr>
          <w:rFonts w:hint="eastAsia" w:ascii="Times New Roman" w:hAnsi="Times New Roman" w:eastAsia="等线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event for indirect prediction).  </w:t>
      </w:r>
    </w:p>
    <w:p w14:paraId="2B6FF34F">
      <w:pPr>
        <w:tabs>
          <w:tab w:val="left" w:pos="1134"/>
        </w:tabs>
        <w:spacing w:after="180" w:line="240" w:lineRule="exact"/>
        <w:rPr>
          <w:rFonts w:hint="eastAsia" w:ascii="Times New Roman" w:hAnsi="Times New Roman" w:eastAsia="宋体"/>
          <w:sz w:val="20"/>
          <w:szCs w:val="20"/>
        </w:rPr>
      </w:pPr>
    </w:p>
    <w:p w14:paraId="5F08F1C5">
      <w:pPr>
        <w:pStyle w:val="2"/>
        <w:widowControl/>
        <w:numPr>
          <w:ilvl w:val="0"/>
          <w:numId w:val="3"/>
        </w:numPr>
        <w:pBdr>
          <w:top w:val="single" w:color="auto" w:sz="12" w:space="3"/>
        </w:pBdr>
        <w:tabs>
          <w:tab w:val="clear" w:pos="432"/>
        </w:tabs>
        <w:spacing w:before="120" w:after="60" w:line="240" w:lineRule="auto"/>
        <w:jc w:val="left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7F82E1F8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RP-251864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New WI: Artificial Intelligence (AI)/Machine Learning (ML) for mobility in NR</w:t>
      </w:r>
    </w:p>
    <w:p w14:paraId="52112FFC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RP-252899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Revised WI: Artificial Intelligence (AI)/Machine Learning (ML) for mobility in NR</w:t>
      </w:r>
    </w:p>
    <w:p w14:paraId="272A2781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R4-2522668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WF on NR_AIML_Mob_RRM, OPPO</w:t>
      </w:r>
    </w:p>
    <w:p w14:paraId="7F4C2FCA">
      <w:pPr>
        <w:pStyle w:val="13"/>
        <w:framePr w:wrap="auto" w:vAnchor="margin" w:hAnchor="text" w:yAlign="inline"/>
        <w:numPr>
          <w:ilvl w:val="0"/>
          <w:numId w:val="10"/>
        </w:numPr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  <w:r>
        <w:rPr>
          <w:rFonts w:hint="eastAsia" w:ascii="Times" w:hAnsi="Times" w:eastAsia="宋体"/>
          <w:b w:val="0"/>
          <w:sz w:val="20"/>
          <w:lang w:eastAsia="zh-CN"/>
        </w:rPr>
        <w:t>R4-2514827</w:t>
      </w:r>
      <w:r>
        <w:rPr>
          <w:rFonts w:hint="eastAsia" w:ascii="Times" w:hAnsi="Times" w:eastAsia="宋体"/>
          <w:b w:val="0"/>
          <w:sz w:val="20"/>
          <w:lang w:val="en-US" w:eastAsia="zh-CN"/>
        </w:rPr>
        <w:t xml:space="preserve">, </w:t>
      </w:r>
      <w:r>
        <w:rPr>
          <w:rFonts w:hint="eastAsia" w:ascii="Times" w:hAnsi="Times" w:eastAsia="宋体"/>
          <w:b w:val="0"/>
          <w:sz w:val="20"/>
          <w:lang w:eastAsia="zh-CN"/>
        </w:rPr>
        <w:t>WF on NR_AIML_Mob_RRM</w:t>
      </w:r>
      <w:r>
        <w:rPr>
          <w:rFonts w:hint="eastAsia" w:ascii="Times" w:hAnsi="Times" w:eastAsia="宋体"/>
          <w:b w:val="0"/>
          <w:sz w:val="20"/>
          <w:lang w:val="en-US" w:eastAsia="zh-CN"/>
        </w:rPr>
        <w:t>, OPPO</w:t>
      </w:r>
    </w:p>
    <w:p w14:paraId="49198761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49C24BC8">
      <w:pPr>
        <w:pStyle w:val="13"/>
        <w:framePr w:wrap="auto" w:vAnchor="margin" w:hAnchor="text" w:yAlign="inline"/>
        <w:ind w:right="400"/>
        <w:jc w:val="both"/>
        <w:rPr>
          <w:rFonts w:ascii="Times" w:hAnsi="Times" w:eastAsia="宋体"/>
          <w:b w:val="0"/>
          <w:sz w:val="20"/>
          <w:lang w:eastAsia="zh-CN"/>
        </w:rPr>
      </w:pPr>
    </w:p>
    <w:p w14:paraId="37201D62">
      <w:pPr>
        <w:pStyle w:val="13"/>
        <w:framePr w:wrap="auto" w:vAnchor="margin" w:hAnchor="text" w:yAlign="inline"/>
        <w:ind w:right="400"/>
        <w:jc w:val="both"/>
        <w:rPr>
          <w:rFonts w:hint="eastAsia" w:ascii="Times" w:hAnsi="Times" w:eastAsia="宋体"/>
          <w:b w:val="0"/>
          <w:sz w:val="20"/>
          <w:lang w:val="en-US" w:eastAsia="zh-CN"/>
        </w:rPr>
      </w:pPr>
    </w:p>
    <w:p w14:paraId="6079E5E1"/>
    <w:sectPr>
      <w:pgSz w:w="11900" w:h="16840"/>
      <w:pgMar w:top="1440" w:right="985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871401"/>
    <w:multiLevelType w:val="singleLevel"/>
    <w:tmpl w:val="F687140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5EB7EC8"/>
    <w:multiLevelType w:val="multilevel"/>
    <w:tmpl w:val="15EB7EC8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17D16152"/>
    <w:multiLevelType w:val="multilevel"/>
    <w:tmpl w:val="17D16152"/>
    <w:lvl w:ilvl="0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18E82B1F"/>
    <w:multiLevelType w:val="multilevel"/>
    <w:tmpl w:val="18E82B1F"/>
    <w:lvl w:ilvl="0" w:tentative="0">
      <w:start w:val="0"/>
      <w:numFmt w:val="bullet"/>
      <w:lvlText w:val="o"/>
      <w:lvlJc w:val="left"/>
      <w:pPr>
        <w:ind w:left="420" w:hanging="420"/>
      </w:pPr>
      <w:rPr>
        <w:rFonts w:hint="default" w:ascii="Courier New" w:hAnsi="Courier New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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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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5210141"/>
    <w:multiLevelType w:val="multilevel"/>
    <w:tmpl w:val="352101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C23962"/>
    <w:multiLevelType w:val="multilevel"/>
    <w:tmpl w:val="64C23962"/>
    <w:lvl w:ilvl="0" w:tentative="0">
      <w:start w:val="1"/>
      <w:numFmt w:val="decimal"/>
      <w:lvlText w:val="%1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6"/>
      <w:lvlText w:val=""/>
      <w:lvlJc w:val="left"/>
      <w:pPr>
        <w:tabs>
          <w:tab w:val="left" w:pos="9990"/>
        </w:tabs>
        <w:ind w:left="999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8B041D2"/>
    <w:multiLevelType w:val="multilevel"/>
    <w:tmpl w:val="78B041D2"/>
    <w:lvl w:ilvl="0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"/>
      <w:lvlJc w:val="left"/>
      <w:pPr>
        <w:ind w:left="2520" w:hanging="360"/>
      </w:pPr>
      <w:rPr>
        <w:rFonts w:hint="default" w:ascii="Symbol" w:hAnsi="Symbol"/>
      </w:rPr>
    </w:lvl>
    <w:lvl w:ilvl="2" w:tentative="0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9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570FF"/>
    <w:rsid w:val="001E31E1"/>
    <w:rsid w:val="00510477"/>
    <w:rsid w:val="030F42DA"/>
    <w:rsid w:val="039B37C7"/>
    <w:rsid w:val="03B64756"/>
    <w:rsid w:val="03EC1A75"/>
    <w:rsid w:val="04E209E0"/>
    <w:rsid w:val="05581271"/>
    <w:rsid w:val="05611098"/>
    <w:rsid w:val="05697CEB"/>
    <w:rsid w:val="0659725C"/>
    <w:rsid w:val="08320503"/>
    <w:rsid w:val="095F3199"/>
    <w:rsid w:val="09956AAF"/>
    <w:rsid w:val="0A632019"/>
    <w:rsid w:val="0AB2039C"/>
    <w:rsid w:val="0B8B7488"/>
    <w:rsid w:val="0DF05B97"/>
    <w:rsid w:val="0E3634E0"/>
    <w:rsid w:val="0F4723D2"/>
    <w:rsid w:val="0F831CC3"/>
    <w:rsid w:val="11144517"/>
    <w:rsid w:val="1159637A"/>
    <w:rsid w:val="12E4180D"/>
    <w:rsid w:val="135132D0"/>
    <w:rsid w:val="13BE2E36"/>
    <w:rsid w:val="13D33102"/>
    <w:rsid w:val="13E54515"/>
    <w:rsid w:val="154B4C98"/>
    <w:rsid w:val="17C90DC6"/>
    <w:rsid w:val="192432CE"/>
    <w:rsid w:val="197233CD"/>
    <w:rsid w:val="1A015FF9"/>
    <w:rsid w:val="1E262080"/>
    <w:rsid w:val="1EA13FCF"/>
    <w:rsid w:val="208B1571"/>
    <w:rsid w:val="20A67B9D"/>
    <w:rsid w:val="219168A1"/>
    <w:rsid w:val="21B75A90"/>
    <w:rsid w:val="21F229A5"/>
    <w:rsid w:val="224554BE"/>
    <w:rsid w:val="22F84732"/>
    <w:rsid w:val="285B47E1"/>
    <w:rsid w:val="29521D5A"/>
    <w:rsid w:val="296A6325"/>
    <w:rsid w:val="2A8275BB"/>
    <w:rsid w:val="2B692490"/>
    <w:rsid w:val="2BAD0C2F"/>
    <w:rsid w:val="2C811A52"/>
    <w:rsid w:val="2D092D6F"/>
    <w:rsid w:val="2DCC054E"/>
    <w:rsid w:val="2EFF4953"/>
    <w:rsid w:val="2FED1FC2"/>
    <w:rsid w:val="30DE49BA"/>
    <w:rsid w:val="319B3E73"/>
    <w:rsid w:val="31B53264"/>
    <w:rsid w:val="332C3305"/>
    <w:rsid w:val="3331778D"/>
    <w:rsid w:val="351D1843"/>
    <w:rsid w:val="36CD03FF"/>
    <w:rsid w:val="370D2F60"/>
    <w:rsid w:val="37E312B6"/>
    <w:rsid w:val="38022573"/>
    <w:rsid w:val="3850290E"/>
    <w:rsid w:val="39A706A6"/>
    <w:rsid w:val="3AF811CC"/>
    <w:rsid w:val="3FF257A0"/>
    <w:rsid w:val="40BA0E25"/>
    <w:rsid w:val="41597CC1"/>
    <w:rsid w:val="42083CE0"/>
    <w:rsid w:val="44ED5522"/>
    <w:rsid w:val="45251780"/>
    <w:rsid w:val="47D07441"/>
    <w:rsid w:val="486C7D0F"/>
    <w:rsid w:val="48765EF0"/>
    <w:rsid w:val="48BC1FC7"/>
    <w:rsid w:val="48BD345D"/>
    <w:rsid w:val="48C92824"/>
    <w:rsid w:val="4A924F66"/>
    <w:rsid w:val="4AAA7A11"/>
    <w:rsid w:val="4ADD1BB7"/>
    <w:rsid w:val="4ADE09B9"/>
    <w:rsid w:val="4BE84B88"/>
    <w:rsid w:val="4CA21BEA"/>
    <w:rsid w:val="4CB30463"/>
    <w:rsid w:val="4CC90409"/>
    <w:rsid w:val="4D0F52FA"/>
    <w:rsid w:val="4EED0FC5"/>
    <w:rsid w:val="4EFC6FD8"/>
    <w:rsid w:val="4F01352B"/>
    <w:rsid w:val="50AC3D18"/>
    <w:rsid w:val="513A24D1"/>
    <w:rsid w:val="517D38BF"/>
    <w:rsid w:val="521A547C"/>
    <w:rsid w:val="539B5A3F"/>
    <w:rsid w:val="56582839"/>
    <w:rsid w:val="5798278D"/>
    <w:rsid w:val="59324E3B"/>
    <w:rsid w:val="595545B4"/>
    <w:rsid w:val="59A65848"/>
    <w:rsid w:val="5AAC5686"/>
    <w:rsid w:val="5C491F27"/>
    <w:rsid w:val="5CF63611"/>
    <w:rsid w:val="5D03326E"/>
    <w:rsid w:val="5E176D14"/>
    <w:rsid w:val="5FC423BA"/>
    <w:rsid w:val="606210AF"/>
    <w:rsid w:val="617674D6"/>
    <w:rsid w:val="61D06D08"/>
    <w:rsid w:val="61DF3A9F"/>
    <w:rsid w:val="62E74204"/>
    <w:rsid w:val="652470FF"/>
    <w:rsid w:val="676E7F3D"/>
    <w:rsid w:val="67A4673A"/>
    <w:rsid w:val="6AFE6DF4"/>
    <w:rsid w:val="6B2F50E5"/>
    <w:rsid w:val="6C642F64"/>
    <w:rsid w:val="6D613D4B"/>
    <w:rsid w:val="6D7D0F66"/>
    <w:rsid w:val="6DB122F8"/>
    <w:rsid w:val="6F9F112C"/>
    <w:rsid w:val="71997D14"/>
    <w:rsid w:val="71A82806"/>
    <w:rsid w:val="734C63A4"/>
    <w:rsid w:val="738B299C"/>
    <w:rsid w:val="738F6E24"/>
    <w:rsid w:val="73C17630"/>
    <w:rsid w:val="73F67ACD"/>
    <w:rsid w:val="75A5650E"/>
    <w:rsid w:val="770B4D24"/>
    <w:rsid w:val="77B91A3C"/>
    <w:rsid w:val="77F160D3"/>
    <w:rsid w:val="79670D3F"/>
    <w:rsid w:val="79DA1477"/>
    <w:rsid w:val="7B723B17"/>
    <w:rsid w:val="7C187D58"/>
    <w:rsid w:val="7CF03F88"/>
    <w:rsid w:val="7D796C4C"/>
    <w:rsid w:val="7DB24046"/>
    <w:rsid w:val="7DFD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lang w:val="en-US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</w:style>
  <w:style w:type="paragraph" w:styleId="7">
    <w:name w:val="Body Text"/>
    <w:basedOn w:val="1"/>
    <w:qFormat/>
    <w:uiPriority w:val="0"/>
  </w:style>
  <w:style w:type="paragraph" w:styleId="8">
    <w:name w:val="header"/>
    <w:basedOn w:val="1"/>
    <w:qFormat/>
    <w:uiPriority w:val="0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eastAsia="MS Mincho"/>
      <w:kern w:val="0"/>
      <w:sz w:val="20"/>
      <w:szCs w:val="20"/>
      <w:lang w:eastAsia="en-US"/>
    </w:rPr>
  </w:style>
  <w:style w:type="table" w:styleId="10">
    <w:name w:val="Table Grid"/>
    <w:basedOn w:val="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widowControl/>
      <w:ind w:firstLine="420" w:firstLineChars="200"/>
      <w:jc w:val="left"/>
    </w:pPr>
    <w:rPr>
      <w:rFonts w:ascii="宋体" w:hAnsi="宋体"/>
      <w:kern w:val="0"/>
    </w:rPr>
  </w:style>
  <w:style w:type="paragraph" w:customStyle="1" w:styleId="1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4">
    <w:name w:val="3GPP Normal Text"/>
    <w:basedOn w:val="7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paragraph" w:customStyle="1" w:styleId="15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16">
    <w:name w:val="Agreement"/>
    <w:basedOn w:val="1"/>
    <w:next w:val="15"/>
    <w:qFormat/>
    <w:uiPriority w:val="99"/>
    <w:pPr>
      <w:numPr>
        <w:ilvl w:val="0"/>
        <w:numId w:val="2"/>
      </w:numPr>
      <w:tabs>
        <w:tab w:val="left" w:pos="1619"/>
      </w:tabs>
      <w:spacing w:before="60"/>
      <w:ind w:left="1616" w:hanging="357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2024-11-04T01:51:00Z</dcterms:created>
  <dc:creator>cmcc</dc:creator>
  <cp:lastModifiedBy>Jingjing_CMCC</cp:lastModifiedBy>
  <dcterms:modified xsi:type="dcterms:W3CDTF">2026-01-30T06:23:38Z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99CA3F75D69E410D84A4BB8A3F58CF13</vt:lpwstr>
  </property>
</Properties>
</file>